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left="-567" w:hanging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УТВЕРЖДАЮ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before="0" w:after="0"/>
        <w:ind w:left="-567" w:hanging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</w:rPr>
        <w:t>Д</w:t>
      </w:r>
      <w:r>
        <w:rPr>
          <w:rFonts w:eastAsia="Times New Roman" w:cs="Times New Roman" w:ascii="Times New Roman" w:hAnsi="Times New Roman"/>
          <w:sz w:val="24"/>
          <w:szCs w:val="24"/>
        </w:rPr>
        <w:t>иректора по качеству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ООО «Самарские коммунальные системы»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___________ </w:t>
      </w:r>
      <w:r>
        <w:rPr>
          <w:rFonts w:cs="Times New Roman" w:ascii="Times New Roman" w:hAnsi="Times New Roman"/>
          <w:sz w:val="24"/>
          <w:szCs w:val="24"/>
        </w:rPr>
        <w:t>Ю.А. Егорова</w:t>
      </w:r>
    </w:p>
    <w:p>
      <w:pPr>
        <w:pStyle w:val="Normal"/>
        <w:spacing w:before="0" w:after="0"/>
        <w:ind w:left="-567" w:hanging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«____»___________2022 г.  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ТЕХНИЧЕСКОЕ ЗАДАНИЕ</w:t>
      </w:r>
    </w:p>
    <w:p>
      <w:pPr>
        <w:pStyle w:val="Normal"/>
        <w:ind w:left="-567" w:hanging="0"/>
        <w:jc w:val="center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на анализатор общего органического углерода в воде</w:t>
      </w:r>
    </w:p>
    <w:p>
      <w:pPr>
        <w:pStyle w:val="Normal"/>
        <w:rPr/>
      </w:pPr>
      <w:r>
        <w:rPr/>
      </w:r>
    </w:p>
    <w:tbl>
      <w:tblPr>
        <w:tblW w:w="10200" w:type="dxa"/>
        <w:jc w:val="left"/>
        <w:tblInd w:w="-80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1e0"/>
      </w:tblPr>
      <w:tblGrid>
        <w:gridCol w:w="804"/>
        <w:gridCol w:w="3238"/>
        <w:gridCol w:w="6158"/>
      </w:tblGrid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b/>
                <w:b/>
                <w:lang w:val="en-US"/>
              </w:rPr>
            </w:pPr>
            <w:r>
              <w:rPr>
                <w:b/>
              </w:rPr>
              <w:t>N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Наименование параметра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Технические требования, установленные Заказчиком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ind w:left="150" w:right="150" w:hanging="0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ind w:right="150" w:hanging="0"/>
              <w:rPr>
                <w:b/>
                <w:b/>
              </w:rPr>
            </w:pPr>
            <w:r>
              <w:rPr>
                <w:b/>
              </w:rPr>
              <w:t>Общие требования к анализатору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1.1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Назначение анализатора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Элементный анализатор для определения для определения общего органического углерода в водах различного типа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1.2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Измеряемые параметры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- Общий органический углерод (TOC), общий углерод (</w:t>
            </w:r>
            <w:r>
              <w:rPr>
                <w:lang w:val="en-US"/>
              </w:rPr>
              <w:t>TC</w:t>
            </w:r>
            <w:r>
              <w:rPr/>
              <w:t>), общий неорганический углерод (</w:t>
            </w:r>
            <w:r>
              <w:rPr>
                <w:lang w:val="en-US"/>
              </w:rPr>
              <w:t>TIC</w:t>
            </w:r>
            <w:r>
              <w:rPr/>
              <w:t>), нелетучий органический углерод (</w:t>
            </w:r>
            <w:r>
              <w:rPr>
                <w:lang w:val="en-US"/>
              </w:rPr>
              <w:t>NPOC</w:t>
            </w:r>
            <w:r>
              <w:rPr/>
              <w:t>)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1.3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Метод определения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 xml:space="preserve">Высокотемпературное каталитическое окисление 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ind w:left="150" w:right="150" w:hanging="0"/>
              <w:jc w:val="center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ind w:right="150" w:hanging="0"/>
              <w:rPr>
                <w:b/>
                <w:b/>
              </w:rPr>
            </w:pPr>
            <w:r>
              <w:rPr>
                <w:b/>
              </w:rPr>
              <w:t>Функциональные и технические характеристики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Газ-окислитель и газ-носитель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Синтетический воздух или кислород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Метод детектирования углерода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Недисперсионная ИК-спектрометрия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2.4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Анализируемые жидкие образцы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Жидкие гомогенные или жидкие с содержанием твердых частиц (суспензии)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2.5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Предел обнаружения для углерода (согласно описанию типа)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Не более 50 мкг/л без концентрирования образца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2.6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Верхняя граница диапазона определяемых содержаний углерода (согласно описанию типа)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 xml:space="preserve">Не менее 30 г/л 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2.7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Минимальный объем вводимого образца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Не более 100 мкл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2.8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Максимальный объем вводимого образца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Не менее 500 мкл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2.9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Способ ввода образца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С помощью шприца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2.10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Автосамплер для жидких образцов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Наличие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Вес анализатора (согласно описанию типа)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Не более 60 кг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Управление прибором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С персонального компьютера с помощью программного обеспечения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2.13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Программное обеспечение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Специализированное программное обеспечение для управления анализатором, сбора, обработки и хранения данных.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Дополнительное оборудование, комплектующие и реактивы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Рабочая станция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 xml:space="preserve">Персональный компьютер с </w:t>
            </w:r>
            <w:r>
              <w:rPr>
                <w:lang w:val="en-US"/>
              </w:rPr>
              <w:t>TFT</w:t>
            </w:r>
            <w:r>
              <w:rPr/>
              <w:t>-монитором и лазерным принтером с ОС типа Windows для установки специализированного ПО для анализатора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Набор расходных материалов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 xml:space="preserve">Набор, включающий катализаторы, трубки и прочие необходимые для анализа компоненты 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3.3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Мелкие изнашиваемые части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Набор мелких изнашиваемых частей, включая прокладки, фитинги, предохранители и т.д. - 1 комплект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3.4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Комплект для обслуживания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Набор для проведения профилактического обслуживания - 1 комплект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Комплектность поставки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- Анализатор для определения общего органического углерода в комплекте со специализированным программным обеспечением анализатора;</w:t>
            </w:r>
          </w:p>
          <w:p>
            <w:pPr>
              <w:pStyle w:val="Normal"/>
              <w:rPr/>
            </w:pPr>
            <w:r>
              <w:rPr/>
              <w:t>- Дополнительное оборудование, комплектующие и реактивы согласно Разделу 3..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>
                <w:b/>
              </w:rPr>
              <w:t>Требуемые документы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Свидетельство на анализатор об утверждении типа средств измерений (СИ) Федерального агентства по техническому регулированию и метрологии (копия).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 xml:space="preserve">Сертификат </w:t>
            </w:r>
            <w:r>
              <w:rPr>
                <w:lang w:val="en-US"/>
              </w:rPr>
              <w:t>ISO</w:t>
            </w:r>
            <w:r>
              <w:rPr/>
              <w:t xml:space="preserve"> производителя оборудования (копия и перевод)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Авторизационное письмо от производителя оборудования (копия и перевод).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Руководство по эксплуатации на русском языке.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Описание СИ данного типа.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left" w:pos="330" w:leader="none"/>
              </w:tabs>
              <w:ind w:left="0" w:hanging="0"/>
              <w:rPr/>
            </w:pPr>
            <w:r>
              <w:rPr/>
              <w:t>Методика поверки СИ данного типа.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Работы по пусконаладке и обучению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6.1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Пусконаладочные работы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Наличие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6.2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Тренинг для представителей заказчика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Ознакомительный тренинг по правилам эксплуатации оборудования для представителей заказчика, включая: работу с оборудованием, работу с программным обеспечением, обслуживание оборудования и уход за ним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Техническое обслуживание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7.1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Срок гарантии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12 месяцев</w:t>
            </w:r>
          </w:p>
        </w:tc>
      </w:tr>
      <w:tr>
        <w:trPr/>
        <w:tc>
          <w:tcPr>
            <w:tcW w:w="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7.2</w:t>
            </w:r>
          </w:p>
        </w:tc>
        <w:tc>
          <w:tcPr>
            <w:tcW w:w="32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Гарантийное обслуживание</w:t>
            </w:r>
          </w:p>
        </w:tc>
        <w:tc>
          <w:tcPr>
            <w:tcW w:w="61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весь срок гарантии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jc w:val="center"/>
              <w:rPr/>
            </w:pPr>
            <w:r>
              <w:rPr/>
              <w:t>7.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Послегарантийное обслуживание</w:t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Послегарантийное сервисное обслуживание включает: поставку и замену запасных частей оборудования, проведение профилактических работ, проведение ремонта и модернизации оборудования. Состав, стоимость и сроки выполнения сервисных работ определяются дополнительным соглашением.</w:t>
            </w:r>
          </w:p>
        </w:tc>
      </w:tr>
      <w:tr>
        <w:trPr/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52"/>
              <w:jc w:val="center"/>
              <w:rPr>
                <w:b/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52"/>
              <w:rPr>
                <w:b/>
                <w:b/>
              </w:rPr>
            </w:pPr>
            <w:r>
              <w:rPr>
                <w:b/>
              </w:rPr>
              <w:t xml:space="preserve">Требования к новизне, </w:t>
            </w:r>
          </w:p>
          <w:p>
            <w:pPr>
              <w:pStyle w:val="Normal"/>
              <w:spacing w:lineRule="auto" w:line="252"/>
              <w:rPr>
                <w:b/>
                <w:b/>
              </w:rPr>
            </w:pPr>
            <w:r>
              <w:rPr>
                <w:b/>
              </w:rPr>
              <w:t xml:space="preserve">год выпуска </w:t>
            </w:r>
          </w:p>
          <w:p>
            <w:pPr>
              <w:pStyle w:val="Normal"/>
              <w:spacing w:lineRule="auto" w:line="252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52"/>
              <w:ind w:left="115" w:hanging="0"/>
              <w:rPr>
                <w:b/>
                <w:b/>
              </w:rPr>
            </w:pPr>
            <w:r>
              <w:rPr>
                <w:b/>
              </w:rPr>
              <w:t xml:space="preserve">Требования к новизне: </w:t>
            </w:r>
          </w:p>
          <w:p>
            <w:pPr>
              <w:pStyle w:val="Normal"/>
              <w:spacing w:lineRule="auto" w:line="252"/>
              <w:ind w:left="115" w:hanging="0"/>
              <w:rPr/>
            </w:pPr>
            <w:r>
              <w:rPr/>
              <w:t>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не являться выставочным образцом или макетом.</w:t>
            </w:r>
          </w:p>
          <w:p>
            <w:pPr>
              <w:pStyle w:val="Normal"/>
              <w:spacing w:lineRule="auto" w:line="252"/>
              <w:ind w:left="115" w:hanging="0"/>
              <w:rPr/>
            </w:pPr>
            <w:r>
              <w:rPr>
                <w:b/>
              </w:rPr>
              <w:t>Год выпуска:</w:t>
            </w:r>
            <w:r>
              <w:rPr/>
              <w:t xml:space="preserve"> не ранее 2022 г.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/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ru-RU"/>
        </w:rPr>
        <w:t>Начальник ИЦКВ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О.И. Нездойминога</w:t>
      </w:r>
    </w:p>
    <w:sectPr>
      <w:type w:val="nextPage"/>
      <w:pgSz w:w="11906" w:h="16838"/>
      <w:pgMar w:left="1701" w:right="851" w:header="0" w:top="1582" w:footer="0" w:bottom="1134" w:gutter="0"/>
      <w:pgNumType w:fmt="decimal"/>
      <w:formProt w:val="false"/>
      <w:textDirection w:val="lrTb"/>
      <w:docGrid w:type="default" w:linePitch="27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252"/>
        </w:tabs>
        <w:ind w:left="252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5747e2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sid w:val="00ac25ca"/>
    <w:rPr>
      <w:rFonts w:cs="Courier New"/>
    </w:rPr>
  </w:style>
  <w:style w:type="character" w:styleId="ListLabel2" w:customStyle="1">
    <w:name w:val="ListLabel 2"/>
    <w:qFormat/>
    <w:rsid w:val="00ac25ca"/>
    <w:rPr>
      <w:rFonts w:cs="Courier New"/>
    </w:rPr>
  </w:style>
  <w:style w:type="character" w:styleId="ListLabel3" w:customStyle="1">
    <w:name w:val="ListLabel 3"/>
    <w:qFormat/>
    <w:rsid w:val="00ac25ca"/>
    <w:rPr>
      <w:rFonts w:cs="Courier New"/>
    </w:rPr>
  </w:style>
  <w:style w:type="character" w:styleId="ListLabel4" w:customStyle="1">
    <w:name w:val="ListLabel 4"/>
    <w:qFormat/>
    <w:rsid w:val="00ac25ca"/>
    <w:rPr>
      <w:rFonts w:cs="Symbol"/>
    </w:rPr>
  </w:style>
  <w:style w:type="character" w:styleId="ListLabel5" w:customStyle="1">
    <w:name w:val="ListLabel 5"/>
    <w:qFormat/>
    <w:rsid w:val="00ac25ca"/>
    <w:rPr>
      <w:rFonts w:cs="Courier New"/>
    </w:rPr>
  </w:style>
  <w:style w:type="character" w:styleId="ListLabel6" w:customStyle="1">
    <w:name w:val="ListLabel 6"/>
    <w:qFormat/>
    <w:rsid w:val="00ac25ca"/>
    <w:rPr>
      <w:rFonts w:cs="Wingdings"/>
    </w:rPr>
  </w:style>
  <w:style w:type="character" w:styleId="ListLabel7" w:customStyle="1">
    <w:name w:val="ListLabel 7"/>
    <w:qFormat/>
    <w:rsid w:val="00ac25ca"/>
    <w:rPr>
      <w:rFonts w:cs="Symbol"/>
    </w:rPr>
  </w:style>
  <w:style w:type="character" w:styleId="ListLabel8" w:customStyle="1">
    <w:name w:val="ListLabel 8"/>
    <w:qFormat/>
    <w:rsid w:val="00ac25ca"/>
    <w:rPr>
      <w:rFonts w:cs="Courier New"/>
    </w:rPr>
  </w:style>
  <w:style w:type="character" w:styleId="ListLabel9" w:customStyle="1">
    <w:name w:val="ListLabel 9"/>
    <w:qFormat/>
    <w:rsid w:val="00ac25ca"/>
    <w:rPr>
      <w:rFonts w:cs="Wingdings"/>
    </w:rPr>
  </w:style>
  <w:style w:type="character" w:styleId="ListLabel10" w:customStyle="1">
    <w:name w:val="ListLabel 10"/>
    <w:qFormat/>
    <w:rsid w:val="00ac25ca"/>
    <w:rPr>
      <w:rFonts w:cs="Symbol"/>
    </w:rPr>
  </w:style>
  <w:style w:type="character" w:styleId="ListLabel11" w:customStyle="1">
    <w:name w:val="ListLabel 11"/>
    <w:qFormat/>
    <w:rsid w:val="00ac25ca"/>
    <w:rPr>
      <w:rFonts w:cs="Courier New"/>
    </w:rPr>
  </w:style>
  <w:style w:type="character" w:styleId="ListLabel12" w:customStyle="1">
    <w:name w:val="ListLabel 12"/>
    <w:qFormat/>
    <w:rsid w:val="00ac25ca"/>
    <w:rPr>
      <w:rFonts w:cs="Wingdings"/>
    </w:rPr>
  </w:style>
  <w:style w:type="character" w:styleId="ListLabel13" w:customStyle="1">
    <w:name w:val="ListLabel 13"/>
    <w:qFormat/>
    <w:rsid w:val="00ac25ca"/>
    <w:rPr>
      <w:rFonts w:cs="Symbol"/>
    </w:rPr>
  </w:style>
  <w:style w:type="character" w:styleId="ListLabel14" w:customStyle="1">
    <w:name w:val="ListLabel 14"/>
    <w:qFormat/>
    <w:rsid w:val="00ac25ca"/>
    <w:rPr>
      <w:rFonts w:cs="Courier New"/>
    </w:rPr>
  </w:style>
  <w:style w:type="character" w:styleId="ListLabel15" w:customStyle="1">
    <w:name w:val="ListLabel 15"/>
    <w:qFormat/>
    <w:rsid w:val="00ac25ca"/>
    <w:rPr>
      <w:rFonts w:cs="Wingdings"/>
    </w:rPr>
  </w:style>
  <w:style w:type="character" w:styleId="ListLabel16" w:customStyle="1">
    <w:name w:val="ListLabel 16"/>
    <w:qFormat/>
    <w:rsid w:val="00ac25ca"/>
    <w:rPr>
      <w:rFonts w:cs="Symbol"/>
    </w:rPr>
  </w:style>
  <w:style w:type="character" w:styleId="ListLabel17" w:customStyle="1">
    <w:name w:val="ListLabel 17"/>
    <w:qFormat/>
    <w:rsid w:val="00ac25ca"/>
    <w:rPr>
      <w:rFonts w:cs="Courier New"/>
    </w:rPr>
  </w:style>
  <w:style w:type="character" w:styleId="ListLabel18" w:customStyle="1">
    <w:name w:val="ListLabel 18"/>
    <w:qFormat/>
    <w:rsid w:val="00ac25ca"/>
    <w:rPr>
      <w:rFonts w:cs="Wingdings"/>
    </w:rPr>
  </w:style>
  <w:style w:type="character" w:styleId="ListLabel19" w:customStyle="1">
    <w:name w:val="ListLabel 19"/>
    <w:qFormat/>
    <w:rsid w:val="00ac25ca"/>
    <w:rPr>
      <w:rFonts w:cs="Symbol"/>
    </w:rPr>
  </w:style>
  <w:style w:type="character" w:styleId="ListLabel20" w:customStyle="1">
    <w:name w:val="ListLabel 20"/>
    <w:qFormat/>
    <w:rsid w:val="00ac25ca"/>
    <w:rPr>
      <w:rFonts w:cs="Courier New"/>
    </w:rPr>
  </w:style>
  <w:style w:type="character" w:styleId="ListLabel21" w:customStyle="1">
    <w:name w:val="ListLabel 21"/>
    <w:qFormat/>
    <w:rsid w:val="00ac25ca"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paragraph" w:styleId="Style14" w:customStyle="1">
    <w:name w:val="Заголовок"/>
    <w:basedOn w:val="Normal"/>
    <w:next w:val="Style15"/>
    <w:qFormat/>
    <w:rsid w:val="00ac25c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ac25ca"/>
    <w:pPr>
      <w:spacing w:lineRule="auto" w:line="288" w:before="0" w:after="140"/>
    </w:pPr>
    <w:rPr/>
  </w:style>
  <w:style w:type="paragraph" w:styleId="Style16">
    <w:name w:val="List"/>
    <w:basedOn w:val="Style15"/>
    <w:rsid w:val="00ac25ca"/>
    <w:pPr/>
    <w:rPr>
      <w:rFonts w:cs="Mangal"/>
    </w:rPr>
  </w:style>
  <w:style w:type="paragraph" w:styleId="Style17" w:customStyle="1">
    <w:name w:val="Caption"/>
    <w:basedOn w:val="Normal"/>
    <w:qFormat/>
    <w:rsid w:val="00ac25ca"/>
    <w:pPr>
      <w:suppressLineNumbers/>
      <w:spacing w:before="120" w:after="120"/>
    </w:pPr>
    <w:rPr>
      <w:rFonts w:cs="Mangal"/>
      <w:i/>
      <w:iCs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ac25ca"/>
    <w:pPr>
      <w:suppressLineNumbers/>
    </w:pPr>
    <w:rPr>
      <w:rFonts w:cs="Mangal"/>
    </w:rPr>
  </w:style>
  <w:style w:type="paragraph" w:styleId="BalloonText">
    <w:name w:val="Balloon Text"/>
    <w:basedOn w:val="Normal"/>
    <w:semiHidden/>
    <w:qFormat/>
    <w:rsid w:val="003e66b2"/>
    <w:pPr/>
    <w:rPr>
      <w:rFonts w:ascii="Tahoma" w:hAnsi="Tahoma" w:cs="Tahoma"/>
      <w:sz w:val="16"/>
      <w:szCs w:val="16"/>
    </w:rPr>
  </w:style>
  <w:style w:type="paragraph" w:styleId="Style19" w:customStyle="1">
    <w:name w:val="Знак"/>
    <w:basedOn w:val="Normal"/>
    <w:qFormat/>
    <w:rsid w:val="00950438"/>
    <w:pPr>
      <w:spacing w:lineRule="exact" w:line="240" w:before="0" w:after="160"/>
    </w:pPr>
    <w:rPr>
      <w:rFonts w:eastAsia="Calibri"/>
      <w:sz w:val="20"/>
      <w:szCs w:val="20"/>
      <w:lang w:eastAsia="zh-CN"/>
    </w:rPr>
  </w:style>
  <w:style w:type="paragraph" w:styleId="3" w:customStyle="1">
    <w:name w:val="Раздел 3"/>
    <w:basedOn w:val="Normal"/>
    <w:qFormat/>
    <w:rsid w:val="00950438"/>
    <w:pPr>
      <w:tabs>
        <w:tab w:val="left" w:pos="360" w:leader="none"/>
      </w:tabs>
      <w:spacing w:before="120" w:after="120"/>
      <w:ind w:left="360" w:hanging="360"/>
      <w:jc w:val="center"/>
    </w:pPr>
    <w:rPr>
      <w:b/>
      <w:bCs/>
    </w:rPr>
  </w:style>
  <w:style w:type="paragraph" w:styleId="NormalWeb">
    <w:name w:val="Normal (Web)"/>
    <w:basedOn w:val="Normal"/>
    <w:qFormat/>
    <w:rsid w:val="00950438"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c316da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Application>LibreOffice/5.3.2.2$Windows_X86_64 LibreOffice_project/6cd4f1ef626f15116896b1d8e1398b56da0d0ee1</Application>
  <Pages>3</Pages>
  <Words>494</Words>
  <Characters>3462</Characters>
  <CharactersWithSpaces>4243</CharactersWithSpaces>
  <Paragraphs>111</Paragraphs>
  <Company>Spectronica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2021-09-07T09:12:00Z</dcterms:created>
  <dc:creator>E</dc:creator>
  <dc:description/>
  <dc:language>ru-RU</dc:language>
  <cp:lastModifiedBy/>
  <cp:lastPrinted>2009-01-20T14:23:00Z</cp:lastPrinted>
  <dcterms:modified xsi:type="dcterms:W3CDTF">2022-09-20T09:52:27Z</dcterms:modified>
  <cp:revision>16</cp:revision>
  <dc:subject/>
  <dc:title>Измеряемые параметры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Spectronica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